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827"/>
        <w:gridCol w:w="351"/>
        <w:gridCol w:w="270"/>
        <w:gridCol w:w="1785"/>
        <w:gridCol w:w="2445"/>
        <w:gridCol w:w="2682"/>
      </w:tblGrid>
      <w:tr w:rsidR="00C7368F" w:rsidRPr="001F314F" w:rsidTr="001A10FC">
        <w:trPr>
          <w:trHeight w:val="576"/>
          <w:jc w:val="center"/>
        </w:trPr>
        <w:tc>
          <w:tcPr>
            <w:tcW w:w="9360" w:type="dxa"/>
            <w:gridSpan w:val="6"/>
            <w:tcMar>
              <w:left w:w="0" w:type="dxa"/>
            </w:tcMar>
            <w:vAlign w:val="center"/>
          </w:tcPr>
          <w:p w:rsidR="00C7368F" w:rsidRPr="001F314F" w:rsidRDefault="00C7368F" w:rsidP="005052C5">
            <w:pPr>
              <w:pStyle w:val="Heading1"/>
              <w:rPr>
                <w:sz w:val="56"/>
              </w:rPr>
            </w:pPr>
            <w:r w:rsidRPr="001F314F">
              <w:rPr>
                <w:sz w:val="56"/>
              </w:rPr>
              <w:t>NWS / SPoRT Coordination Call</w:t>
            </w:r>
          </w:p>
        </w:tc>
      </w:tr>
      <w:tr w:rsidR="00C7368F" w:rsidRPr="001F314F" w:rsidTr="001A10FC">
        <w:trPr>
          <w:trHeight w:val="274"/>
          <w:jc w:val="center"/>
        </w:trPr>
        <w:tc>
          <w:tcPr>
            <w:tcW w:w="2448" w:type="dxa"/>
            <w:gridSpan w:val="3"/>
            <w:tcMar>
              <w:left w:w="0" w:type="dxa"/>
            </w:tcMar>
            <w:vAlign w:val="center"/>
          </w:tcPr>
          <w:p w:rsidR="00C7368F" w:rsidRPr="001F314F" w:rsidRDefault="00C7368F" w:rsidP="00B536D5">
            <w:pPr>
              <w:pStyle w:val="Heading3"/>
              <w:rPr>
                <w:sz w:val="48"/>
              </w:rPr>
            </w:pPr>
            <w:r>
              <w:rPr>
                <w:sz w:val="40"/>
              </w:rPr>
              <w:t>November 18</w:t>
            </w:r>
            <w:r w:rsidRPr="001A10FC">
              <w:rPr>
                <w:sz w:val="40"/>
              </w:rPr>
              <w:t>, 2010</w:t>
            </w:r>
          </w:p>
        </w:tc>
        <w:tc>
          <w:tcPr>
            <w:tcW w:w="1785" w:type="dxa"/>
            <w:tcMar>
              <w:left w:w="0" w:type="dxa"/>
            </w:tcMar>
            <w:vAlign w:val="center"/>
          </w:tcPr>
          <w:p w:rsidR="00C7368F" w:rsidRPr="001F314F" w:rsidRDefault="00C7368F" w:rsidP="005052C5">
            <w:pPr>
              <w:pStyle w:val="Heading4"/>
              <w:framePr w:hSpace="0" w:wrap="auto" w:vAnchor="margin" w:hAnchor="text" w:xAlign="left" w:yAlign="inline"/>
              <w:suppressOverlap w:val="0"/>
              <w:rPr>
                <w:sz w:val="24"/>
              </w:rPr>
            </w:pPr>
          </w:p>
        </w:tc>
        <w:tc>
          <w:tcPr>
            <w:tcW w:w="2445" w:type="dxa"/>
            <w:tcMar>
              <w:left w:w="0" w:type="dxa"/>
            </w:tcMar>
            <w:vAlign w:val="center"/>
          </w:tcPr>
          <w:p w:rsidR="00C7368F" w:rsidRPr="001F314F" w:rsidRDefault="00C7368F" w:rsidP="005052C5">
            <w:pPr>
              <w:pStyle w:val="Heading4"/>
              <w:framePr w:hSpace="0" w:wrap="auto" w:vAnchor="margin" w:hAnchor="text" w:xAlign="left" w:yAlign="inline"/>
              <w:suppressOverlap w:val="0"/>
              <w:rPr>
                <w:sz w:val="24"/>
              </w:rPr>
            </w:pPr>
          </w:p>
        </w:tc>
        <w:tc>
          <w:tcPr>
            <w:tcW w:w="2682" w:type="dxa"/>
            <w:tcMar>
              <w:left w:w="0" w:type="dxa"/>
            </w:tcMar>
            <w:vAlign w:val="center"/>
          </w:tcPr>
          <w:p w:rsidR="00C7368F" w:rsidRPr="001F314F" w:rsidRDefault="00C7368F" w:rsidP="005052C5">
            <w:pPr>
              <w:pStyle w:val="Heading5"/>
              <w:rPr>
                <w:sz w:val="24"/>
              </w:rPr>
            </w:pPr>
            <w:r>
              <w:rPr>
                <w:sz w:val="24"/>
              </w:rPr>
              <w:t>Telecon</w:t>
            </w:r>
          </w:p>
        </w:tc>
      </w:tr>
      <w:tr w:rsidR="00C7368F" w:rsidRPr="001F314F" w:rsidTr="001A10FC">
        <w:trPr>
          <w:trHeight w:val="229"/>
          <w:jc w:val="center"/>
        </w:trPr>
        <w:tc>
          <w:tcPr>
            <w:tcW w:w="9360" w:type="dxa"/>
            <w:gridSpan w:val="6"/>
            <w:tcMar>
              <w:left w:w="0" w:type="dxa"/>
            </w:tcMar>
            <w:vAlign w:val="center"/>
          </w:tcPr>
          <w:p w:rsidR="00C7368F" w:rsidRPr="001F314F" w:rsidRDefault="00C7368F" w:rsidP="005052C5">
            <w:pPr>
              <w:rPr>
                <w:sz w:val="24"/>
              </w:rPr>
            </w:pPr>
          </w:p>
        </w:tc>
      </w:tr>
      <w:tr w:rsidR="00C7368F" w:rsidRPr="001F314F" w:rsidTr="001A10FC">
        <w:trPr>
          <w:trHeight w:val="360"/>
          <w:jc w:val="center"/>
        </w:trPr>
        <w:tc>
          <w:tcPr>
            <w:tcW w:w="1827"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Meeting called by</w:t>
            </w:r>
          </w:p>
        </w:tc>
        <w:tc>
          <w:tcPr>
            <w:tcW w:w="7533" w:type="dxa"/>
            <w:gridSpan w:val="5"/>
            <w:tcBorders>
              <w:top w:val="single" w:sz="12" w:space="0" w:color="999999"/>
              <w:left w:val="single" w:sz="4" w:space="0" w:color="C0C0C0"/>
              <w:bottom w:val="single" w:sz="4" w:space="0" w:color="C0C0C0"/>
              <w:right w:val="single" w:sz="4" w:space="0" w:color="C0C0C0"/>
            </w:tcBorders>
            <w:vAlign w:val="center"/>
          </w:tcPr>
          <w:p w:rsidR="00C7368F" w:rsidRPr="001F314F" w:rsidRDefault="00C7368F" w:rsidP="005052C5">
            <w:pPr>
              <w:rPr>
                <w:sz w:val="24"/>
              </w:rPr>
            </w:pPr>
            <w:r w:rsidRPr="001F314F">
              <w:rPr>
                <w:sz w:val="24"/>
              </w:rPr>
              <w:t>NWS Southern Region HQ</w:t>
            </w:r>
          </w:p>
        </w:tc>
      </w:tr>
      <w:tr w:rsidR="00C7368F" w:rsidRPr="001F314F" w:rsidTr="001A10F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Type of meeting</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r w:rsidRPr="001F314F">
              <w:rPr>
                <w:sz w:val="24"/>
              </w:rPr>
              <w:t>Telecon – Monthly Coordination Call</w:t>
            </w:r>
          </w:p>
        </w:tc>
      </w:tr>
      <w:tr w:rsidR="00C7368F" w:rsidRPr="001F314F" w:rsidTr="001A10F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Facilitator</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r w:rsidRPr="001F314F">
              <w:rPr>
                <w:sz w:val="24"/>
              </w:rPr>
              <w:t>Bernard Meisner</w:t>
            </w:r>
          </w:p>
        </w:tc>
      </w:tr>
      <w:tr w:rsidR="00C7368F" w:rsidRPr="001F314F" w:rsidTr="001A10F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Note taker</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r w:rsidRPr="001F314F">
              <w:rPr>
                <w:sz w:val="24"/>
              </w:rPr>
              <w:t>Kevin Fuell</w:t>
            </w:r>
          </w:p>
        </w:tc>
      </w:tr>
      <w:tr w:rsidR="00C7368F" w:rsidRPr="001F314F" w:rsidTr="001A10F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Timekeeper</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r w:rsidRPr="001F314F">
              <w:rPr>
                <w:sz w:val="24"/>
              </w:rPr>
              <w:t>n/a</w:t>
            </w:r>
          </w:p>
        </w:tc>
      </w:tr>
      <w:tr w:rsidR="00C7368F" w:rsidRPr="001F314F" w:rsidTr="001A10F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r w:rsidRPr="001F314F">
              <w:rPr>
                <w:sz w:val="22"/>
              </w:rPr>
              <w:t>Attendees</w:t>
            </w:r>
          </w:p>
        </w:tc>
        <w:tc>
          <w:tcPr>
            <w:tcW w:w="7533" w:type="dxa"/>
            <w:gridSpan w:val="5"/>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r>
              <w:rPr>
                <w:sz w:val="24"/>
              </w:rPr>
              <w:t>various WFOs</w:t>
            </w:r>
          </w:p>
        </w:tc>
      </w:tr>
      <w:tr w:rsidR="00C7368F" w:rsidRPr="001F314F" w:rsidTr="001A10FC">
        <w:trPr>
          <w:trHeight w:val="432"/>
          <w:jc w:val="center"/>
        </w:trPr>
        <w:tc>
          <w:tcPr>
            <w:tcW w:w="9360" w:type="dxa"/>
            <w:gridSpan w:val="6"/>
            <w:tcBorders>
              <w:top w:val="single" w:sz="4" w:space="0" w:color="C0C0C0"/>
            </w:tcBorders>
            <w:vAlign w:val="center"/>
          </w:tcPr>
          <w:p w:rsidR="00C7368F" w:rsidRPr="001F314F" w:rsidRDefault="00C7368F" w:rsidP="005052C5">
            <w:pPr>
              <w:rPr>
                <w:sz w:val="24"/>
              </w:rPr>
            </w:pPr>
          </w:p>
        </w:tc>
      </w:tr>
      <w:tr w:rsidR="00C7368F" w:rsidRPr="001F314F" w:rsidTr="001A10FC">
        <w:trPr>
          <w:trHeight w:val="360"/>
          <w:jc w:val="center"/>
        </w:trPr>
        <w:tc>
          <w:tcPr>
            <w:tcW w:w="9360" w:type="dxa"/>
            <w:gridSpan w:val="6"/>
            <w:tcMar>
              <w:left w:w="0" w:type="dxa"/>
            </w:tcMar>
            <w:vAlign w:val="center"/>
          </w:tcPr>
          <w:p w:rsidR="00C7368F" w:rsidRPr="001F314F" w:rsidRDefault="00C7368F" w:rsidP="005052C5">
            <w:pPr>
              <w:pStyle w:val="Heading2"/>
              <w:rPr>
                <w:sz w:val="40"/>
              </w:rPr>
            </w:pPr>
            <w:bookmarkStart w:id="0" w:name="MinuteTopic"/>
            <w:bookmarkEnd w:id="0"/>
            <w:r w:rsidRPr="001F314F">
              <w:rPr>
                <w:sz w:val="40"/>
              </w:rPr>
              <w:t>Agenda topics</w:t>
            </w:r>
          </w:p>
        </w:tc>
      </w:tr>
      <w:tr w:rsidR="00C7368F" w:rsidRPr="001F314F" w:rsidTr="001A10FC">
        <w:trPr>
          <w:trHeight w:val="360"/>
          <w:jc w:val="center"/>
        </w:trPr>
        <w:tc>
          <w:tcPr>
            <w:tcW w:w="2448" w:type="dxa"/>
            <w:gridSpan w:val="3"/>
            <w:tcBorders>
              <w:bottom w:val="single" w:sz="12" w:space="0" w:color="999999"/>
            </w:tcBorders>
            <w:tcMar>
              <w:left w:w="0" w:type="dxa"/>
            </w:tcMar>
            <w:vAlign w:val="center"/>
          </w:tcPr>
          <w:p w:rsidR="00C7368F" w:rsidRPr="001F314F" w:rsidRDefault="00C7368F" w:rsidP="005052C5">
            <w:pPr>
              <w:pStyle w:val="Heading4"/>
              <w:framePr w:hSpace="0" w:wrap="auto" w:vAnchor="margin" w:hAnchor="text" w:xAlign="left" w:yAlign="inline"/>
              <w:suppressOverlap w:val="0"/>
              <w:rPr>
                <w:sz w:val="24"/>
              </w:rPr>
            </w:pPr>
            <w:bookmarkStart w:id="1" w:name="MinuteItems"/>
            <w:bookmarkStart w:id="2" w:name="MinuteTopicSection"/>
            <w:bookmarkEnd w:id="1"/>
          </w:p>
        </w:tc>
        <w:tc>
          <w:tcPr>
            <w:tcW w:w="4230" w:type="dxa"/>
            <w:gridSpan w:val="2"/>
            <w:tcBorders>
              <w:bottom w:val="single" w:sz="12" w:space="0" w:color="999999"/>
            </w:tcBorders>
            <w:tcMar>
              <w:left w:w="0" w:type="dxa"/>
            </w:tcMar>
            <w:vAlign w:val="center"/>
          </w:tcPr>
          <w:p w:rsidR="00C7368F" w:rsidRPr="001F314F" w:rsidRDefault="00C7368F" w:rsidP="005052C5">
            <w:pPr>
              <w:pStyle w:val="Heading4"/>
              <w:framePr w:hSpace="0" w:wrap="auto" w:vAnchor="margin" w:hAnchor="text" w:xAlign="left" w:yAlign="inline"/>
              <w:suppressOverlap w:val="0"/>
              <w:rPr>
                <w:b/>
                <w:sz w:val="24"/>
              </w:rPr>
            </w:pPr>
            <w:r>
              <w:rPr>
                <w:b/>
                <w:sz w:val="24"/>
              </w:rPr>
              <w:t>SPoRT Goes-R proving Ground products and wfo participation</w:t>
            </w:r>
          </w:p>
        </w:tc>
        <w:tc>
          <w:tcPr>
            <w:tcW w:w="2682" w:type="dxa"/>
            <w:tcBorders>
              <w:bottom w:val="single" w:sz="12" w:space="0" w:color="999999"/>
            </w:tcBorders>
            <w:tcMar>
              <w:left w:w="0" w:type="dxa"/>
            </w:tcMar>
            <w:vAlign w:val="center"/>
          </w:tcPr>
          <w:p w:rsidR="00C7368F" w:rsidRPr="001F314F" w:rsidRDefault="00C7368F" w:rsidP="005052C5">
            <w:pPr>
              <w:pStyle w:val="Heading5"/>
              <w:rPr>
                <w:sz w:val="24"/>
              </w:rPr>
            </w:pPr>
            <w:r>
              <w:rPr>
                <w:sz w:val="24"/>
              </w:rPr>
              <w:t>Kevin fuell / geoffrey stano</w:t>
            </w:r>
          </w:p>
        </w:tc>
      </w:tr>
      <w:tr w:rsidR="00C7368F" w:rsidRPr="001F314F" w:rsidTr="001A10FC">
        <w:trPr>
          <w:trHeight w:val="360"/>
          <w:jc w:val="center"/>
        </w:trPr>
        <w:tc>
          <w:tcPr>
            <w:tcW w:w="21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bookmarkStart w:id="3" w:name="MinuteDiscussion"/>
            <w:bookmarkEnd w:id="3"/>
            <w:r w:rsidRPr="001F314F">
              <w:rPr>
                <w:sz w:val="22"/>
              </w:rPr>
              <w:t>Discussion</w:t>
            </w:r>
          </w:p>
        </w:tc>
        <w:tc>
          <w:tcPr>
            <w:tcW w:w="7182" w:type="dxa"/>
            <w:gridSpan w:val="4"/>
            <w:tcBorders>
              <w:top w:val="single" w:sz="12" w:space="0" w:color="999999"/>
              <w:left w:val="single" w:sz="4" w:space="0" w:color="C0C0C0"/>
              <w:bottom w:val="single" w:sz="4" w:space="0" w:color="C0C0C0"/>
              <w:right w:val="single" w:sz="4" w:space="0" w:color="C0C0C0"/>
            </w:tcBorders>
            <w:vAlign w:val="center"/>
          </w:tcPr>
          <w:p w:rsidR="00C7368F" w:rsidRPr="00C81E88" w:rsidRDefault="00C7368F" w:rsidP="00C81E88">
            <w:pPr>
              <w:numPr>
                <w:ilvl w:val="0"/>
                <w:numId w:val="1"/>
              </w:numPr>
              <w:rPr>
                <w:sz w:val="24"/>
              </w:rPr>
            </w:pPr>
            <w:r w:rsidRPr="00C81E88">
              <w:rPr>
                <w:sz w:val="24"/>
              </w:rPr>
              <w:t>SPoRT involvement in GOES-R PG</w:t>
            </w:r>
          </w:p>
          <w:p w:rsidR="00C7368F" w:rsidRPr="00C81E88" w:rsidRDefault="00C7368F" w:rsidP="00C81E88">
            <w:pPr>
              <w:numPr>
                <w:ilvl w:val="0"/>
                <w:numId w:val="1"/>
              </w:numPr>
              <w:rPr>
                <w:sz w:val="24"/>
              </w:rPr>
            </w:pPr>
            <w:r w:rsidRPr="00C81E88">
              <w:rPr>
                <w:sz w:val="24"/>
              </w:rPr>
              <w:t>SPoRT developed products</w:t>
            </w:r>
          </w:p>
          <w:p w:rsidR="00C7368F" w:rsidRPr="00C81E88" w:rsidRDefault="00C7368F" w:rsidP="00C81E88">
            <w:pPr>
              <w:numPr>
                <w:ilvl w:val="0"/>
                <w:numId w:val="1"/>
              </w:numPr>
              <w:rPr>
                <w:sz w:val="24"/>
              </w:rPr>
            </w:pPr>
            <w:r w:rsidRPr="00C81E88">
              <w:rPr>
                <w:sz w:val="24"/>
              </w:rPr>
              <w:t>What is entailed by being an evaluator of GOES-R PG products</w:t>
            </w:r>
          </w:p>
          <w:p w:rsidR="00C7368F" w:rsidRPr="00C81E88" w:rsidRDefault="00C7368F" w:rsidP="00C81E88">
            <w:pPr>
              <w:numPr>
                <w:ilvl w:val="0"/>
                <w:numId w:val="1"/>
              </w:numPr>
              <w:rPr>
                <w:sz w:val="24"/>
              </w:rPr>
            </w:pPr>
            <w:r w:rsidRPr="00C81E88">
              <w:rPr>
                <w:sz w:val="24"/>
              </w:rPr>
              <w:t>Install of products to AWIPS</w:t>
            </w:r>
          </w:p>
          <w:p w:rsidR="00C7368F" w:rsidRPr="00C81E88" w:rsidRDefault="00C7368F" w:rsidP="00C81E88">
            <w:pPr>
              <w:numPr>
                <w:ilvl w:val="0"/>
                <w:numId w:val="1"/>
              </w:numPr>
              <w:rPr>
                <w:sz w:val="24"/>
              </w:rPr>
            </w:pPr>
            <w:r w:rsidRPr="00C81E88">
              <w:rPr>
                <w:sz w:val="24"/>
              </w:rPr>
              <w:t xml:space="preserve">Evaluation strategy discussion </w:t>
            </w:r>
          </w:p>
        </w:tc>
      </w:tr>
      <w:tr w:rsidR="00C7368F" w:rsidRPr="001F314F" w:rsidTr="001A10FC">
        <w:trPr>
          <w:trHeight w:val="360"/>
          <w:jc w:val="center"/>
        </w:trPr>
        <w:tc>
          <w:tcPr>
            <w:tcW w:w="9360" w:type="dxa"/>
            <w:gridSpan w:val="6"/>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C81E88">
            <w:pPr>
              <w:rPr>
                <w:sz w:val="24"/>
              </w:rPr>
            </w:pPr>
            <w:r>
              <w:rPr>
                <w:sz w:val="24"/>
              </w:rPr>
              <w:t>A short overview of SPoRT’s involvement in the GOES-R PG was presented (see slides).  SPoRT has been participating in the Hazardous Weather Testbed Spring Experiment at SPC as part of the proving ground and has provided products, data and training in terms of lightning and convective initiation (UAH AWG) areas.  SPoRT has also been developing a MODIS-GOES Hybrid as a near-realtime ABI proxy.  Examples of this product and the Pseudo-GLM total lightning product was provided (see slides).  The GOES-R PG Executive Board has asked that a more formal agreement with end users be established to evaluate these GOES-R PG products. Evaluations will take place in phases with the basic ABI-like imagery first during the winter and other products such as SST or CI in the spring.</w:t>
            </w:r>
          </w:p>
        </w:tc>
      </w:tr>
      <w:tr w:rsidR="00C7368F" w:rsidRPr="001F314F" w:rsidTr="001A10FC">
        <w:trPr>
          <w:trHeight w:val="360"/>
          <w:jc w:val="center"/>
        </w:trPr>
        <w:tc>
          <w:tcPr>
            <w:tcW w:w="9360" w:type="dxa"/>
            <w:gridSpan w:val="6"/>
            <w:tcBorders>
              <w:top w:val="single" w:sz="4" w:space="0" w:color="C0C0C0"/>
              <w:left w:val="single" w:sz="4" w:space="0" w:color="C0C0C0"/>
              <w:bottom w:val="single" w:sz="12" w:space="0" w:color="999999"/>
              <w:right w:val="single" w:sz="4" w:space="0" w:color="C0C0C0"/>
            </w:tcBorders>
            <w:vAlign w:val="center"/>
          </w:tcPr>
          <w:p w:rsidR="00C7368F" w:rsidRPr="001F314F" w:rsidRDefault="00C7368F" w:rsidP="005052C5">
            <w:pPr>
              <w:rPr>
                <w:sz w:val="24"/>
              </w:rPr>
            </w:pPr>
          </w:p>
        </w:tc>
      </w:tr>
      <w:tr w:rsidR="00C7368F" w:rsidRPr="001F314F" w:rsidTr="001A10FC">
        <w:trPr>
          <w:trHeight w:val="360"/>
          <w:jc w:val="center"/>
        </w:trPr>
        <w:tc>
          <w:tcPr>
            <w:tcW w:w="217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7368F" w:rsidRPr="001F314F" w:rsidRDefault="00C7368F" w:rsidP="005052C5">
            <w:pPr>
              <w:pStyle w:val="AllCapsHeading"/>
              <w:rPr>
                <w:sz w:val="22"/>
              </w:rPr>
            </w:pPr>
            <w:bookmarkStart w:id="4" w:name="MinuteConclusion"/>
            <w:bookmarkEnd w:id="4"/>
            <w:r w:rsidRPr="001F314F">
              <w:rPr>
                <w:sz w:val="22"/>
              </w:rPr>
              <w:t>Conclusions</w:t>
            </w:r>
          </w:p>
        </w:tc>
        <w:tc>
          <w:tcPr>
            <w:tcW w:w="7182" w:type="dxa"/>
            <w:gridSpan w:val="4"/>
            <w:tcBorders>
              <w:top w:val="single" w:sz="12" w:space="0" w:color="999999"/>
              <w:left w:val="single" w:sz="4" w:space="0" w:color="C0C0C0"/>
              <w:bottom w:val="single" w:sz="4" w:space="0" w:color="C0C0C0"/>
              <w:right w:val="single" w:sz="4" w:space="0" w:color="C0C0C0"/>
            </w:tcBorders>
            <w:vAlign w:val="center"/>
          </w:tcPr>
          <w:p w:rsidR="00C7368F" w:rsidRDefault="00C7368F" w:rsidP="00C81E88">
            <w:pPr>
              <w:rPr>
                <w:sz w:val="24"/>
              </w:rPr>
            </w:pPr>
            <w:r>
              <w:rPr>
                <w:sz w:val="24"/>
              </w:rPr>
              <w:t>SPoRT will be asking about 8 WFOs to participate in this manner, through their evaluation of the Hybrid and Pseudo-GLM as well as other potential products from GOES-R algorithm working groups (AWGs).  SPoRT has been testing these products with co-located HUN WFO and is preparing instructions for these products to be added to appropriate WFOs as they are willing to evaluate them or to be used within the WES framework for evaluation.</w:t>
            </w:r>
          </w:p>
          <w:p w:rsidR="00C7368F" w:rsidRDefault="00C7368F" w:rsidP="00C81E88">
            <w:pPr>
              <w:rPr>
                <w:sz w:val="24"/>
              </w:rPr>
            </w:pPr>
          </w:p>
          <w:p w:rsidR="00C7368F" w:rsidRPr="001F314F" w:rsidRDefault="00C7368F" w:rsidP="00C81E88">
            <w:pPr>
              <w:rPr>
                <w:sz w:val="24"/>
              </w:rPr>
            </w:pPr>
            <w:r>
              <w:rPr>
                <w:sz w:val="24"/>
              </w:rPr>
              <w:t>See PPT for examples of products.  Contact SPoRT with questions after receiving invitation to participate as part of SPoRT’s GOES-R PG work.</w:t>
            </w:r>
          </w:p>
        </w:tc>
      </w:tr>
      <w:tr w:rsidR="00C7368F" w:rsidRPr="001F314F" w:rsidTr="001A10FC">
        <w:trPr>
          <w:trHeight w:val="360"/>
          <w:jc w:val="center"/>
        </w:trPr>
        <w:tc>
          <w:tcPr>
            <w:tcW w:w="9360" w:type="dxa"/>
            <w:gridSpan w:val="6"/>
            <w:tcBorders>
              <w:top w:val="single" w:sz="4" w:space="0" w:color="C0C0C0"/>
              <w:left w:val="single" w:sz="4" w:space="0" w:color="C0C0C0"/>
              <w:bottom w:val="single" w:sz="4" w:space="0" w:color="C0C0C0"/>
              <w:right w:val="single" w:sz="4" w:space="0" w:color="C0C0C0"/>
            </w:tcBorders>
            <w:vAlign w:val="center"/>
          </w:tcPr>
          <w:p w:rsidR="00C7368F" w:rsidRPr="001F314F" w:rsidRDefault="00C7368F" w:rsidP="005052C5">
            <w:pPr>
              <w:rPr>
                <w:sz w:val="24"/>
              </w:rPr>
            </w:pPr>
          </w:p>
        </w:tc>
      </w:tr>
      <w:tr w:rsidR="00C7368F" w:rsidRPr="001F314F" w:rsidTr="001A10FC">
        <w:trPr>
          <w:trHeight w:val="360"/>
          <w:jc w:val="center"/>
        </w:trPr>
        <w:tc>
          <w:tcPr>
            <w:tcW w:w="9360" w:type="dxa"/>
            <w:gridSpan w:val="6"/>
            <w:tcBorders>
              <w:top w:val="single" w:sz="4" w:space="0" w:color="C0C0C0"/>
              <w:left w:val="single" w:sz="4" w:space="0" w:color="C0C0C0"/>
              <w:bottom w:val="single" w:sz="12" w:space="0" w:color="999999"/>
              <w:right w:val="single" w:sz="4" w:space="0" w:color="C0C0C0"/>
            </w:tcBorders>
            <w:vAlign w:val="center"/>
          </w:tcPr>
          <w:p w:rsidR="00C7368F" w:rsidRPr="001F314F" w:rsidRDefault="00C7368F" w:rsidP="005052C5">
            <w:pPr>
              <w:rPr>
                <w:sz w:val="24"/>
              </w:rPr>
            </w:pPr>
          </w:p>
        </w:tc>
      </w:tr>
    </w:tbl>
    <w:p w:rsidR="00C7368F" w:rsidRPr="001A10FC" w:rsidRDefault="00C7368F" w:rsidP="00BB5323">
      <w:pPr>
        <w:rPr>
          <w:sz w:val="36"/>
        </w:rPr>
      </w:pPr>
      <w:bookmarkStart w:id="5" w:name="MinuteActionItems"/>
      <w:bookmarkEnd w:id="2"/>
      <w:bookmarkEnd w:id="5"/>
    </w:p>
    <w:sectPr w:rsidR="00C7368F" w:rsidRPr="001A10FC" w:rsidSect="007554A1">
      <w:type w:val="continuous"/>
      <w:pgSz w:w="12240" w:h="15840" w:code="1"/>
      <w:pgMar w:top="1080"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A226F"/>
    <w:multiLevelType w:val="hybridMultilevel"/>
    <w:tmpl w:val="1F7C46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footnoteLayoutLikeWW8/>
    <w:shapeLayoutLikeWW8/>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CF4"/>
    <w:rsid w:val="000145A5"/>
    <w:rsid w:val="00043514"/>
    <w:rsid w:val="001020F4"/>
    <w:rsid w:val="00142E97"/>
    <w:rsid w:val="001A10FC"/>
    <w:rsid w:val="001F314F"/>
    <w:rsid w:val="002138F0"/>
    <w:rsid w:val="00287C84"/>
    <w:rsid w:val="002C1B18"/>
    <w:rsid w:val="00417272"/>
    <w:rsid w:val="00456620"/>
    <w:rsid w:val="004908C2"/>
    <w:rsid w:val="00495E0E"/>
    <w:rsid w:val="005052C5"/>
    <w:rsid w:val="00531002"/>
    <w:rsid w:val="00692553"/>
    <w:rsid w:val="00714763"/>
    <w:rsid w:val="007554A1"/>
    <w:rsid w:val="00770A37"/>
    <w:rsid w:val="007C174F"/>
    <w:rsid w:val="0085168B"/>
    <w:rsid w:val="00890B2B"/>
    <w:rsid w:val="008F49C0"/>
    <w:rsid w:val="009843BF"/>
    <w:rsid w:val="00987202"/>
    <w:rsid w:val="009A3616"/>
    <w:rsid w:val="00AE3851"/>
    <w:rsid w:val="00B536D5"/>
    <w:rsid w:val="00B84015"/>
    <w:rsid w:val="00BB5323"/>
    <w:rsid w:val="00C166AB"/>
    <w:rsid w:val="00C338E4"/>
    <w:rsid w:val="00C7368F"/>
    <w:rsid w:val="00C81E88"/>
    <w:rsid w:val="00C85FAE"/>
    <w:rsid w:val="00CB3760"/>
    <w:rsid w:val="00CE6342"/>
    <w:rsid w:val="00D621F4"/>
    <w:rsid w:val="00D84CA1"/>
    <w:rsid w:val="00DF2A44"/>
    <w:rsid w:val="00E43BAB"/>
    <w:rsid w:val="00E4591C"/>
    <w:rsid w:val="00E60E43"/>
    <w:rsid w:val="00E71DBA"/>
    <w:rsid w:val="00EA2581"/>
    <w:rsid w:val="00F16F88"/>
    <w:rsid w:val="00FB7CF4"/>
    <w:rsid w:val="00FD61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17B"/>
    <w:rPr>
      <w:rFonts w:asciiTheme="majorHAnsi" w:eastAsiaTheme="majorEastAsia" w:hAnsiTheme="majorHAnsi" w:cstheme="majorBidi"/>
      <w:b/>
      <w:bCs/>
      <w:spacing w:val="4"/>
      <w:kern w:val="32"/>
      <w:sz w:val="32"/>
      <w:szCs w:val="32"/>
    </w:rPr>
  </w:style>
  <w:style w:type="character" w:customStyle="1" w:styleId="Heading2Char">
    <w:name w:val="Heading 2 Char"/>
    <w:basedOn w:val="DefaultParagraphFont"/>
    <w:link w:val="Heading2"/>
    <w:uiPriority w:val="9"/>
    <w:semiHidden/>
    <w:rsid w:val="003A417B"/>
    <w:rPr>
      <w:rFonts w:asciiTheme="majorHAnsi" w:eastAsiaTheme="majorEastAsia" w:hAnsiTheme="majorHAnsi" w:cstheme="majorBidi"/>
      <w:b/>
      <w:bCs/>
      <w:i/>
      <w:iCs/>
      <w:spacing w:val="4"/>
      <w:sz w:val="28"/>
      <w:szCs w:val="28"/>
    </w:rPr>
  </w:style>
  <w:style w:type="character" w:customStyle="1" w:styleId="Heading3Char">
    <w:name w:val="Heading 3 Char"/>
    <w:basedOn w:val="DefaultParagraphFont"/>
    <w:link w:val="Heading3"/>
    <w:uiPriority w:val="9"/>
    <w:semiHidden/>
    <w:rsid w:val="003A417B"/>
    <w:rPr>
      <w:rFonts w:asciiTheme="majorHAnsi" w:eastAsiaTheme="majorEastAsia" w:hAnsiTheme="majorHAnsi" w:cstheme="majorBidi"/>
      <w:b/>
      <w:bCs/>
      <w:spacing w:val="4"/>
      <w:sz w:val="26"/>
      <w:szCs w:val="26"/>
    </w:rPr>
  </w:style>
  <w:style w:type="character" w:customStyle="1" w:styleId="Heading4Char">
    <w:name w:val="Heading 4 Char"/>
    <w:basedOn w:val="DefaultParagraphFont"/>
    <w:link w:val="Heading4"/>
    <w:uiPriority w:val="9"/>
    <w:semiHidden/>
    <w:rsid w:val="003A417B"/>
    <w:rPr>
      <w:rFonts w:asciiTheme="minorHAnsi" w:eastAsiaTheme="minorEastAsia" w:hAnsiTheme="minorHAnsi" w:cstheme="minorBidi"/>
      <w:b/>
      <w:bCs/>
      <w:spacing w:val="4"/>
      <w:sz w:val="28"/>
      <w:szCs w:val="28"/>
    </w:rPr>
  </w:style>
  <w:style w:type="character" w:customStyle="1" w:styleId="Heading5Char">
    <w:name w:val="Heading 5 Char"/>
    <w:basedOn w:val="DefaultParagraphFont"/>
    <w:link w:val="Heading5"/>
    <w:uiPriority w:val="9"/>
    <w:semiHidden/>
    <w:rsid w:val="003A417B"/>
    <w:rPr>
      <w:rFonts w:asciiTheme="minorHAnsi" w:eastAsiaTheme="minorEastAsia" w:hAnsiTheme="minorHAnsi" w:cstheme="minorBidi"/>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character" w:styleId="Hyperlink">
    <w:name w:val="Hyperlink"/>
    <w:basedOn w:val="DefaultParagraphFont"/>
    <w:uiPriority w:val="99"/>
    <w:rsid w:val="001020F4"/>
    <w:rPr>
      <w:rFonts w:cs="Times New Roman"/>
      <w:color w:val="0000FF"/>
      <w:u w:val="single"/>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rsid w:val="003A417B"/>
    <w:rPr>
      <w:spacing w:val="4"/>
      <w:sz w:val="0"/>
      <w:szCs w:val="0"/>
    </w:rPr>
  </w:style>
</w:styles>
</file>

<file path=word/webSettings.xml><?xml version="1.0" encoding="utf-8"?>
<w:webSettings xmlns:r="http://schemas.openxmlformats.org/officeDocument/2006/relationships" xmlns:w="http://schemas.openxmlformats.org/wordprocessingml/2006/main">
  <w:divs>
    <w:div w:id="1621379785">
      <w:marLeft w:val="0"/>
      <w:marRight w:val="0"/>
      <w:marTop w:val="0"/>
      <w:marBottom w:val="0"/>
      <w:divBdr>
        <w:top w:val="none" w:sz="0" w:space="0" w:color="auto"/>
        <w:left w:val="none" w:sz="0" w:space="0" w:color="auto"/>
        <w:bottom w:val="none" w:sz="0" w:space="0" w:color="auto"/>
        <w:right w:val="none" w:sz="0" w:space="0" w:color="auto"/>
      </w:divBdr>
    </w:div>
    <w:div w:id="1621379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ellkk\Application%20Data\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minutes.dot</Template>
  <TotalTime>8</TotalTime>
  <Pages>2</Pages>
  <Words>286</Words>
  <Characters>1635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 / SPoRT Coordination Call</dc:title>
  <dc:subject/>
  <dc:creator>Kevin Fuell</dc:creator>
  <cp:keywords/>
  <dc:description/>
  <cp:lastModifiedBy>Diane Samuelson</cp:lastModifiedBy>
  <cp:revision>2</cp:revision>
  <cp:lastPrinted>2004-01-21T17:22:00Z</cp:lastPrinted>
  <dcterms:created xsi:type="dcterms:W3CDTF">2011-01-27T21:46:00Z</dcterms:created>
  <dcterms:modified xsi:type="dcterms:W3CDTF">2011-01-27T21:46:00Z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